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遵义医科大学青年教师教学竞赛现场比赛评分表（专家用表）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2"/>
        <w:tblW w:w="13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9976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教学演示</w:t>
            </w:r>
          </w:p>
        </w:tc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综合评价与教案的吻合度</w:t>
            </w:r>
          </w:p>
        </w:tc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4" w:type="dxa"/>
            <w:gridSpan w:val="2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教学内容</w:t>
            </w:r>
          </w:p>
        </w:tc>
        <w:tc>
          <w:tcPr>
            <w:tcW w:w="2494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教学组织</w:t>
            </w:r>
          </w:p>
        </w:tc>
        <w:tc>
          <w:tcPr>
            <w:tcW w:w="3741" w:type="dxa"/>
            <w:gridSpan w:val="3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表达形式</w:t>
            </w:r>
          </w:p>
        </w:tc>
        <w:tc>
          <w:tcPr>
            <w:tcW w:w="1247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教态</w:t>
            </w:r>
          </w:p>
        </w:tc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6" w:hRule="atLeast"/>
        </w:trPr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1、教学内容准确、重点突出，有一定的深度和广度，重视立德树人，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"https://www.360kuai.com/pc/995180b90b0ff35be?cota=3&amp;kuai_so=1&amp;tj_url=so_vip&amp;sign=360_7bc3b157" \t "https://www.so.com/_blank"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寓教于乐 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（课程思政）。</w:t>
            </w:r>
            <w:bookmarkStart w:id="0" w:name="_GoBack"/>
            <w:bookmarkEnd w:id="0"/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2、信息量饱满、科学严谨，能够体现教学目标。</w:t>
            </w:r>
          </w:p>
        </w:tc>
        <w:tc>
          <w:tcPr>
            <w:tcW w:w="1247" w:type="dxa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1、讲授思路清晰、层次分明，合理调配教学内容，守时。</w:t>
            </w:r>
          </w:p>
        </w:tc>
        <w:tc>
          <w:tcPr>
            <w:tcW w:w="1247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2、激励学生参与，课堂气氛活跃，授课方式能吸引学生的注意力，启发学生的思考。</w:t>
            </w:r>
          </w:p>
        </w:tc>
        <w:tc>
          <w:tcPr>
            <w:tcW w:w="1247" w:type="dxa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1、普通话授课，语言生动，语速适中，善于运用手势、表情，肢体语言丰富有表现力。</w:t>
            </w:r>
          </w:p>
        </w:tc>
        <w:tc>
          <w:tcPr>
            <w:tcW w:w="1247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2、课件制作富有创意，简明、美观，有效运用多种图像、声像材料，能加深学生对教学内容的理解。</w:t>
            </w:r>
          </w:p>
        </w:tc>
        <w:tc>
          <w:tcPr>
            <w:tcW w:w="1247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3、能恰当、有效地使用板书或实物等教学辅助手段。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着装典雅庄重，精神饱满，教态自然大方。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课堂演练总体评分；比赛现场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20分钟授课内容；重点、时间安排是本节课教案计划内进行的。</w:t>
            </w:r>
          </w:p>
        </w:tc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8" w:hRule="atLeast"/>
        </w:trPr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选手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15分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7分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15分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15分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7分</w:t>
            </w:r>
          </w:p>
        </w:tc>
        <w:tc>
          <w:tcPr>
            <w:tcW w:w="1247" w:type="dxa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15分</w:t>
            </w:r>
          </w:p>
        </w:tc>
        <w:tc>
          <w:tcPr>
            <w:tcW w:w="1247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6分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5分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15分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2" w:hRule="atLeast"/>
        </w:trPr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     </w:t>
      </w:r>
      <w:r>
        <w:rPr>
          <w:rFonts w:hint="eastAsia"/>
          <w:b/>
          <w:bCs/>
          <w:sz w:val="28"/>
          <w:szCs w:val="28"/>
          <w:lang w:val="en-US" w:eastAsia="zh-CN"/>
        </w:rPr>
        <w:t>专家签名：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                            日    期：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A2740"/>
    <w:rsid w:val="5A2A2740"/>
    <w:rsid w:val="5E262FF0"/>
    <w:rsid w:val="5F5920E8"/>
    <w:rsid w:val="6FB819DF"/>
    <w:rsid w:val="768F36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2016-10-25T01:48:00Z</dcterms:created>
  <dc:creator>Administrator</dc:creator>
  <cp:lastModifiedBy>zxy</cp:lastModifiedBy>
  <dcterms:modified xsi:type="dcterms:W3CDTF">2021-10-20T08:53:48Z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